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87" w:rsidRPr="00DA1887" w:rsidRDefault="00DA1887" w:rsidP="00DA188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52525"/>
          <w:kern w:val="36"/>
          <w:sz w:val="32"/>
          <w:szCs w:val="32"/>
          <w:lang w:eastAsia="sl-SI"/>
        </w:rPr>
      </w:pPr>
      <w:r w:rsidRPr="00DA1887">
        <w:rPr>
          <w:rFonts w:ascii="Arial" w:eastAsia="Times New Roman" w:hAnsi="Arial" w:cs="Arial"/>
          <w:b/>
          <w:bCs/>
          <w:color w:val="252525"/>
          <w:kern w:val="36"/>
          <w:sz w:val="32"/>
          <w:szCs w:val="32"/>
          <w:lang w:eastAsia="sl-SI"/>
        </w:rPr>
        <w:t>Dietna prehrana</w:t>
      </w:r>
    </w:p>
    <w:p w:rsidR="00A02C7D" w:rsidRDefault="00DA1887" w:rsidP="00DA1887">
      <w:p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</w:pPr>
      <w:r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 xml:space="preserve">V </w:t>
      </w:r>
      <w:r w:rsidR="00A02C7D" w:rsidRPr="00A02C7D">
        <w:rPr>
          <w:rFonts w:ascii="Trebuchet MS" w:eastAsia="Times New Roman" w:hAnsi="Trebuchet MS" w:cs="Arial"/>
          <w:b/>
          <w:color w:val="252525"/>
          <w:sz w:val="24"/>
          <w:szCs w:val="24"/>
          <w:lang w:eastAsia="sl-SI"/>
        </w:rPr>
        <w:t>Otroškem vrtcu Šmarje pri Jelšah</w:t>
      </w:r>
      <w:r w:rsidR="00A02C7D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 xml:space="preserve"> </w:t>
      </w:r>
      <w:r w:rsidRPr="00DA1887">
        <w:rPr>
          <w:rFonts w:ascii="Trebuchet MS" w:eastAsia="Times New Roman" w:hAnsi="Trebuchet MS" w:cs="Arial"/>
          <w:b/>
          <w:bCs/>
          <w:color w:val="252525"/>
          <w:sz w:val="24"/>
          <w:szCs w:val="24"/>
          <w:lang w:eastAsia="sl-SI"/>
        </w:rPr>
        <w:t> dietno prehrano uvedemo in ukinemo na podlagi potrdila o medicin</w:t>
      </w:r>
      <w:r w:rsidR="00A02C7D">
        <w:rPr>
          <w:rFonts w:ascii="Trebuchet MS" w:eastAsia="Times New Roman" w:hAnsi="Trebuchet MS" w:cs="Arial"/>
          <w:b/>
          <w:bCs/>
          <w:color w:val="252525"/>
          <w:sz w:val="24"/>
          <w:szCs w:val="24"/>
          <w:lang w:eastAsia="sl-SI"/>
        </w:rPr>
        <w:t xml:space="preserve">sko indicirani dieti za otroka, </w:t>
      </w:r>
      <w:r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 xml:space="preserve">ki je opredeljena v </w:t>
      </w:r>
      <w:r w:rsidR="00A02C7D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z veljavnem</w:t>
      </w:r>
      <w:r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 xml:space="preserve"> katalog</w:t>
      </w:r>
      <w:r w:rsidR="00A02C7D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u diet.</w:t>
      </w:r>
    </w:p>
    <w:p w:rsidR="00DA1887" w:rsidRPr="00DA1887" w:rsidRDefault="00DA1887" w:rsidP="00DA1887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sl-SI"/>
        </w:rPr>
      </w:pPr>
      <w:r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Potrdilo o medicinsko indicirani dieti lahko izda izbrani zdravnik na primarni ravni (ki naj bi bil specialist pediater ali specialist šolske medicine) ali specialist pediater usmerjen v področje na sekundarni ali terciarni ravni, v skladu z veljavno medicinsko doktrino. Na potrdilu je opredeljena tudi veljavnost predpisane medicinsko indicirane diete (</w:t>
      </w:r>
      <w:r w:rsidRPr="00DA1887">
        <w:rPr>
          <w:rFonts w:ascii="Trebuchet MS" w:eastAsia="Times New Roman" w:hAnsi="Trebuchet MS" w:cs="Arial"/>
          <w:b/>
          <w:bCs/>
          <w:color w:val="252525"/>
          <w:sz w:val="24"/>
          <w:szCs w:val="24"/>
          <w:lang w:eastAsia="sl-SI"/>
        </w:rPr>
        <w:t>trajno</w:t>
      </w:r>
      <w:r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 ali </w:t>
      </w:r>
      <w:r w:rsidRPr="00DA1887">
        <w:rPr>
          <w:rFonts w:ascii="Trebuchet MS" w:eastAsia="Times New Roman" w:hAnsi="Trebuchet MS" w:cs="Arial"/>
          <w:b/>
          <w:bCs/>
          <w:color w:val="252525"/>
          <w:sz w:val="24"/>
          <w:szCs w:val="24"/>
          <w:lang w:eastAsia="sl-SI"/>
        </w:rPr>
        <w:t>začasno</w:t>
      </w:r>
      <w:r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). Trajna potrdila veljajo do preklica ali do izdaje potrdila o morebitni spremembi v dieti in jih ni potrebno obnavljati. Začasna potrdila veljajo do 1 leta in jih je potrebno redno obnavljati v skladu s predpisanim rokom veljavnosti. V nasprotnem primeru se začasno predpisana dieta, po poteku roka veljavnosti, prekine.</w:t>
      </w:r>
    </w:p>
    <w:p w:rsidR="00DA1887" w:rsidRPr="00DA1887" w:rsidRDefault="00A02C7D" w:rsidP="00DA1887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sl-SI"/>
        </w:rPr>
      </w:pPr>
      <w:r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Starši ali skrbniki predložijo</w:t>
      </w:r>
      <w:r w:rsidR="00DA1887"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 xml:space="preserve"> potrdilo o medicinsko indicirani dieti strokovnim delavcem/kam skupine, v katero je vključen otrok, </w:t>
      </w:r>
      <w:r w:rsidR="00DA1887" w:rsidRPr="00DA1887">
        <w:rPr>
          <w:rFonts w:ascii="Trebuchet MS" w:eastAsia="Times New Roman" w:hAnsi="Trebuchet MS" w:cs="Arial"/>
          <w:b/>
          <w:bCs/>
          <w:color w:val="252525"/>
          <w:sz w:val="24"/>
          <w:szCs w:val="24"/>
          <w:lang w:eastAsia="sl-SI"/>
        </w:rPr>
        <w:t>ob ugotovljeni bolezni</w:t>
      </w:r>
      <w:r w:rsidR="00DA1887"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 in </w:t>
      </w:r>
      <w:r w:rsidR="00DA1887" w:rsidRPr="00DA1887">
        <w:rPr>
          <w:rFonts w:ascii="Trebuchet MS" w:eastAsia="Times New Roman" w:hAnsi="Trebuchet MS" w:cs="Arial"/>
          <w:b/>
          <w:bCs/>
          <w:color w:val="252525"/>
          <w:sz w:val="24"/>
          <w:szCs w:val="24"/>
          <w:lang w:eastAsia="sl-SI"/>
        </w:rPr>
        <w:t>vsakokratni spremembi</w:t>
      </w:r>
      <w:r w:rsidR="00DA1887"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 ali </w:t>
      </w:r>
      <w:r w:rsidR="00DA1887" w:rsidRPr="00DA1887">
        <w:rPr>
          <w:rFonts w:ascii="Trebuchet MS" w:eastAsia="Times New Roman" w:hAnsi="Trebuchet MS" w:cs="Arial"/>
          <w:b/>
          <w:bCs/>
          <w:color w:val="252525"/>
          <w:sz w:val="24"/>
          <w:szCs w:val="24"/>
          <w:lang w:eastAsia="sl-SI"/>
        </w:rPr>
        <w:t>prenehanju diete</w:t>
      </w:r>
      <w:r w:rsidR="00DA1887"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. Strokovni delavec/</w:t>
      </w:r>
      <w:proofErr w:type="spellStart"/>
      <w:r w:rsidR="00DA1887"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ka</w:t>
      </w:r>
      <w:proofErr w:type="spellEnd"/>
      <w:r w:rsidR="00DA1887"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 xml:space="preserve">  posreduje</w:t>
      </w:r>
      <w:r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 xml:space="preserve"> kopijo potrdila</w:t>
      </w:r>
      <w:r w:rsidR="00DA1887"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 xml:space="preserve"> v kuhinjo </w:t>
      </w:r>
      <w:r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enote, v kateri otrok biva ter vodji</w:t>
      </w:r>
      <w:r w:rsidR="00DA1887"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 xml:space="preserve"> prehrane, sam/a pa obdrži original potrdila.</w:t>
      </w:r>
    </w:p>
    <w:p w:rsidR="00DA1887" w:rsidRPr="00DA1887" w:rsidRDefault="00DA1887" w:rsidP="00DA1887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sl-SI"/>
        </w:rPr>
      </w:pPr>
      <w:r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Dietni obroki so glede na vrsto alergije ali druge prehranske omejitve načrtovani in izpeljani iz dnevnega jedilnika zdravega otroka. Tako izpeljani jedilniki dajejo čim manjši občutek drugačnosti v krogu sovrstnikov. Priprava, transport in serviranje dietne prehrane potekajo v skladu z internimi </w:t>
      </w:r>
      <w:r w:rsidRPr="00DA1887">
        <w:rPr>
          <w:rFonts w:ascii="Trebuchet MS" w:eastAsia="Times New Roman" w:hAnsi="Trebuchet MS" w:cs="Arial"/>
          <w:i/>
          <w:iCs/>
          <w:color w:val="252525"/>
          <w:sz w:val="24"/>
          <w:szCs w:val="24"/>
          <w:lang w:eastAsia="sl-SI"/>
        </w:rPr>
        <w:t>Smernicami priprave dietnih prehrane</w:t>
      </w:r>
      <w:r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 in </w:t>
      </w:r>
      <w:r w:rsidRPr="00DA1887">
        <w:rPr>
          <w:rFonts w:ascii="Trebuchet MS" w:eastAsia="Times New Roman" w:hAnsi="Trebuchet MS" w:cs="Arial"/>
          <w:i/>
          <w:iCs/>
          <w:color w:val="252525"/>
          <w:sz w:val="24"/>
          <w:szCs w:val="24"/>
          <w:lang w:eastAsia="sl-SI"/>
        </w:rPr>
        <w:t>Smernicami za manipulacijo z živili oz. pripravo hrane v igralnici</w:t>
      </w:r>
      <w:r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. Vsakemu otroku z alergijo, intoleranco ali drugimi prehranskimi omejitvami se posebej posvetimo in mu poskušamo ponuditi čim širši nabor živil ter jedi, ki izključujejo le zanj n</w:t>
      </w:r>
      <w:bookmarkStart w:id="0" w:name="_GoBack"/>
      <w:bookmarkEnd w:id="0"/>
      <w:r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evarne alergene.</w:t>
      </w:r>
    </w:p>
    <w:p w:rsidR="00DA1887" w:rsidRPr="00DA1887" w:rsidRDefault="00DA1887" w:rsidP="00DA1887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sl-SI"/>
        </w:rPr>
      </w:pPr>
      <w:r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 xml:space="preserve">Pri prehranski oskrbi otrok, ki </w:t>
      </w:r>
      <w:r w:rsidR="00A02C7D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so vključeni v</w:t>
      </w:r>
      <w:r w:rsidR="00A02C7D" w:rsidRPr="00A02C7D">
        <w:rPr>
          <w:rFonts w:ascii="Trebuchet MS" w:eastAsia="Times New Roman" w:hAnsi="Trebuchet MS" w:cs="Arial"/>
          <w:b/>
          <w:color w:val="252525"/>
          <w:sz w:val="24"/>
          <w:szCs w:val="24"/>
          <w:lang w:eastAsia="sl-SI"/>
        </w:rPr>
        <w:t xml:space="preserve"> </w:t>
      </w:r>
      <w:r w:rsidR="00A02C7D" w:rsidRPr="00A02C7D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Otroški</w:t>
      </w:r>
      <w:r w:rsidR="00A02C7D" w:rsidRPr="00A02C7D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 xml:space="preserve"> vrt</w:t>
      </w:r>
      <w:r w:rsidR="00A02C7D" w:rsidRPr="00A02C7D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e</w:t>
      </w:r>
      <w:r w:rsidR="00A02C7D" w:rsidRPr="00A02C7D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c Šmarje pri Jelšah</w:t>
      </w:r>
      <w:r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 xml:space="preserve"> spremljamo najnovejša priporočila in dognanja stroke. Sodelujemo z Zdravstvenim domom </w:t>
      </w:r>
      <w:r w:rsidR="00A02C7D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Šmarje pri Jelšah po potrebi se obračamo tudi na</w:t>
      </w:r>
      <w:r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 xml:space="preserve"> Pediatrično kliniko Univerzitetnega kliničnega centra Ljubljana ter nenehno iščemo ustrezne načine za prilagoditev in popestritev varne, zdrave in okusne dietne prehrane.</w:t>
      </w:r>
    </w:p>
    <w:p w:rsidR="00DA1887" w:rsidRPr="00DA1887" w:rsidRDefault="00DA1887" w:rsidP="00DA1887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52525"/>
          <w:sz w:val="20"/>
          <w:szCs w:val="20"/>
          <w:lang w:eastAsia="sl-SI"/>
        </w:rPr>
      </w:pPr>
      <w:r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 xml:space="preserve">V primeru strogih izločitvenih diet priporočamo osebno srečanje in </w:t>
      </w:r>
      <w:r w:rsidR="00A02C7D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pogovor s starši</w:t>
      </w:r>
      <w:r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. Za vse dodatne informacije pokličite na telefonsko številko </w:t>
      </w:r>
      <w:r w:rsidRPr="00DA1887">
        <w:rPr>
          <w:rFonts w:ascii="Trebuchet MS" w:eastAsia="Times New Roman" w:hAnsi="Trebuchet MS" w:cs="Arial"/>
          <w:b/>
          <w:bCs/>
          <w:color w:val="252525"/>
          <w:sz w:val="24"/>
          <w:szCs w:val="24"/>
          <w:lang w:eastAsia="sl-SI"/>
        </w:rPr>
        <w:t xml:space="preserve">03 </w:t>
      </w:r>
      <w:r w:rsidR="00A02C7D">
        <w:rPr>
          <w:rFonts w:ascii="Trebuchet MS" w:eastAsia="Times New Roman" w:hAnsi="Trebuchet MS" w:cs="Arial"/>
          <w:b/>
          <w:bCs/>
          <w:color w:val="252525"/>
          <w:sz w:val="24"/>
          <w:szCs w:val="24"/>
          <w:lang w:eastAsia="sl-SI"/>
        </w:rPr>
        <w:t>8171 591</w:t>
      </w:r>
      <w:r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 ali pišite na e-poštni naslov </w:t>
      </w:r>
      <w:r w:rsidR="00A02C7D">
        <w:rPr>
          <w:rFonts w:ascii="Trebuchet MS" w:eastAsia="Times New Roman" w:hAnsi="Trebuchet MS" w:cs="Arial"/>
          <w:b/>
          <w:bCs/>
          <w:color w:val="252525"/>
          <w:sz w:val="24"/>
          <w:szCs w:val="24"/>
          <w:lang w:eastAsia="sl-SI"/>
        </w:rPr>
        <w:t>ida.valek</w:t>
      </w:r>
      <w:r w:rsidRPr="00DA1887">
        <w:rPr>
          <w:rFonts w:ascii="Trebuchet MS" w:eastAsia="Times New Roman" w:hAnsi="Trebuchet MS" w:cs="Arial"/>
          <w:b/>
          <w:bCs/>
          <w:color w:val="252525"/>
          <w:sz w:val="24"/>
          <w:szCs w:val="24"/>
          <w:lang w:eastAsia="sl-SI"/>
        </w:rPr>
        <w:t>@vrtec-</w:t>
      </w:r>
      <w:r w:rsidR="00A02C7D">
        <w:rPr>
          <w:rFonts w:ascii="Trebuchet MS" w:eastAsia="Times New Roman" w:hAnsi="Trebuchet MS" w:cs="Arial"/>
          <w:b/>
          <w:bCs/>
          <w:color w:val="252525"/>
          <w:sz w:val="24"/>
          <w:szCs w:val="24"/>
          <w:lang w:eastAsia="sl-SI"/>
        </w:rPr>
        <w:t>smarje</w:t>
      </w:r>
      <w:r w:rsidRPr="00DA1887">
        <w:rPr>
          <w:rFonts w:ascii="Trebuchet MS" w:eastAsia="Times New Roman" w:hAnsi="Trebuchet MS" w:cs="Arial"/>
          <w:b/>
          <w:bCs/>
          <w:color w:val="252525"/>
          <w:sz w:val="24"/>
          <w:szCs w:val="24"/>
          <w:lang w:eastAsia="sl-SI"/>
        </w:rPr>
        <w:t>.si</w:t>
      </w:r>
      <w:r w:rsidRPr="00DA1887">
        <w:rPr>
          <w:rFonts w:ascii="Trebuchet MS" w:eastAsia="Times New Roman" w:hAnsi="Trebuchet MS" w:cs="Arial"/>
          <w:color w:val="252525"/>
          <w:sz w:val="24"/>
          <w:szCs w:val="24"/>
          <w:lang w:eastAsia="sl-SI"/>
        </w:rPr>
        <w:t>.</w:t>
      </w:r>
    </w:p>
    <w:p w:rsidR="007C4ABD" w:rsidRDefault="00A02C7D">
      <w:r w:rsidRPr="00A02C7D">
        <w:rPr>
          <w:rFonts w:ascii="Trebuchet MS" w:eastAsia="Times New Roman" w:hAnsi="Trebuchet MS" w:cs="Arial"/>
          <w:i/>
          <w:iCs/>
          <w:color w:val="252525"/>
          <w:sz w:val="24"/>
          <w:szCs w:val="24"/>
          <w:lang w:eastAsia="sl-SI"/>
        </w:rPr>
        <w:t xml:space="preserve">Ida </w:t>
      </w:r>
      <w:proofErr w:type="spellStart"/>
      <w:r w:rsidRPr="00A02C7D">
        <w:rPr>
          <w:rFonts w:ascii="Trebuchet MS" w:eastAsia="Times New Roman" w:hAnsi="Trebuchet MS" w:cs="Arial"/>
          <w:i/>
          <w:iCs/>
          <w:color w:val="252525"/>
          <w:sz w:val="24"/>
          <w:szCs w:val="24"/>
          <w:lang w:eastAsia="sl-SI"/>
        </w:rPr>
        <w:t>Valek</w:t>
      </w:r>
      <w:proofErr w:type="spellEnd"/>
      <w:r w:rsidRPr="00A02C7D">
        <w:rPr>
          <w:rFonts w:ascii="Trebuchet MS" w:eastAsia="Times New Roman" w:hAnsi="Trebuchet MS" w:cs="Arial"/>
          <w:i/>
          <w:iCs/>
          <w:color w:val="252525"/>
          <w:sz w:val="24"/>
          <w:szCs w:val="24"/>
          <w:lang w:eastAsia="sl-SI"/>
        </w:rPr>
        <w:t xml:space="preserve">, </w:t>
      </w:r>
      <w:proofErr w:type="spellStart"/>
      <w:r w:rsidRPr="00A02C7D">
        <w:rPr>
          <w:rFonts w:ascii="Trebuchet MS" w:eastAsia="Times New Roman" w:hAnsi="Trebuchet MS" w:cs="Arial"/>
          <w:i/>
          <w:iCs/>
          <w:color w:val="252525"/>
          <w:sz w:val="24"/>
          <w:szCs w:val="24"/>
          <w:lang w:eastAsia="sl-SI"/>
        </w:rPr>
        <w:t>uni.dipl.inž.živ.teh</w:t>
      </w:r>
      <w:proofErr w:type="spellEnd"/>
      <w:r>
        <w:br/>
      </w:r>
      <w:r w:rsidRPr="00A02C7D">
        <w:rPr>
          <w:rFonts w:ascii="Trebuchet MS" w:eastAsia="Times New Roman" w:hAnsi="Trebuchet MS" w:cs="Arial"/>
          <w:i/>
          <w:iCs/>
          <w:color w:val="252525"/>
          <w:sz w:val="24"/>
          <w:szCs w:val="24"/>
          <w:lang w:eastAsia="sl-SI"/>
        </w:rPr>
        <w:t>Vodja prehrane in zdravstveno higienskega režima</w:t>
      </w:r>
    </w:p>
    <w:sectPr w:rsidR="007C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410"/>
    <w:multiLevelType w:val="multilevel"/>
    <w:tmpl w:val="03B8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52DF5"/>
    <w:multiLevelType w:val="multilevel"/>
    <w:tmpl w:val="B80A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87"/>
    <w:rsid w:val="002C5441"/>
    <w:rsid w:val="007C4ABD"/>
    <w:rsid w:val="00A02C7D"/>
    <w:rsid w:val="00D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2DF9"/>
  <w15:chartTrackingRefBased/>
  <w15:docId w15:val="{B147858B-79D0-4489-B816-B7CEEEE9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A02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004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49">
              <w:marLeft w:val="0"/>
              <w:marRight w:val="0"/>
              <w:marTop w:val="0"/>
              <w:marBottom w:val="0"/>
              <w:divBdr>
                <w:top w:val="single" w:sz="6" w:space="0" w:color="D7D6D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768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6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2</cp:revision>
  <dcterms:created xsi:type="dcterms:W3CDTF">2021-02-04T11:59:00Z</dcterms:created>
  <dcterms:modified xsi:type="dcterms:W3CDTF">2021-02-04T11:59:00Z</dcterms:modified>
</cp:coreProperties>
</file>